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АЗГЭ-ОД/26-3303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00300060127119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22.06.2026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80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 xml:space="preserve">находящегося в муниципальной собственности: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Одинцовский, сельское поселение Ершовское, д Спасское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50:20:0080419:74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находится в муниципальной собственности: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Кубинка;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границах третьего пояса зоны санитарной охраны источников питьевого и  хозяйственно-бытового водоснабжения – подольско-мячковского водоносного комплекса, эксплуатируемого скважиной №1 и алексинско-протвинского водоносного комплекса, эксплуатируемого скважиной №2;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расположен во втором поясе зоны санитарной охраны источника питьевого и хозяйственно-бытового водоснабжения;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 границах земельного участка расположена воздушная линия электропередачи.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 На Земельном участке расположены следующие объекты недвижимости: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опоры линии электропередачи.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2.1.4.1110-02», санитарно-эпидемиологических правил СП 2.1.4.2625-10 «Зоны санитарной охраны источников питьевого водоснабжения г. Москвы».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04.05.2026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04.05.2026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1 507 050,00 руб. (Один миллион пятьсот семь тысяч пятьдесят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75 352,50 руб. (Семьдесят пять тысяч триста пятьдесят два руб. 50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1 507 050,00 руб. (Один миллион пятьсот семь тысяч пятьдесят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